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after="0" w:before="0" w:line="275.9999942779541" w:lineRule="auto"/>
        <w:rPr>
          <w:rFonts w:ascii="Arial" w:cs="Arial" w:eastAsia="Arial" w:hAnsi="Arial"/>
          <w:color w:val="1f1f1f"/>
        </w:rPr>
      </w:pPr>
      <w:bookmarkStart w:colFirst="0" w:colLast="0" w:name="_o0xed5sy5ewe" w:id="0"/>
      <w:bookmarkEnd w:id="0"/>
      <w:r w:rsidDel="00000000" w:rsidR="00000000" w:rsidRPr="00000000">
        <w:rPr>
          <w:color w:val="1f1f1f"/>
          <w:rtl w:val="0"/>
        </w:rPr>
        <w:t xml:space="preserve">Рубежная работа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Риск ликвидности и кассовые разрывы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принципиальное различие между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балансовой (кассовой)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ликвидностью и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рыночной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ликвидностью? Что такое кассовый разрыв и какой главный операционный инструмент использует казначейство для его заблаговременного прогнозирования?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Операционные риски и непрерывность бизнеса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Назовите четыре классических фактора (источника) операционных рисков по стандартам Базельского комитета. Что означают ключевые метрики непрерывности бизнеса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RTO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(Recovery Time Objective) 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RPO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(Recovery Point Objective)?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Киберриски и информационная безопасность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Опишите базовую триаду информационной безопасности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CIA Triad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(Confidentiality, Integrity, Availability). В чем суть золотого правила резервного копирования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«3-2-1»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 концепции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Zero Trust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Стратегии реагирования на риски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Перечислите четыре базовые стратегии реагирования на риски (метод «4T»). К какому типу стратегии относится оформление договора имущественного страхования или покупка финансовых деривативов?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Хеджирование и производные инструменты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Чем принципиально отличается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фьючерс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от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опциона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 точки зрения участия компании в благоприятном движении рынка? В чем главное преимущество опциона типа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Put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для экспортера, защищающегося от падения цен на свою продукцию?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Корпоративная система ERM и аппетит к риску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Дайте определение понятию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«аппетит к риску» (Risk Appetite)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 концепции COSO ERM. Как этот показатель транслируется с уровня Совета директоров на операционный уровень компании (через какие инструменты)?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Культура рисков, мониторинг и KRI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Что такое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Ключевые индикаторы риска (KRI)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 чем они принципиально отличаются от привычных показателей эффективности (KPI)? Какую роль играют опережающие (Leading) KRI в системе раннего предупреждения?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